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213C9C" w:rsidRDefault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75" w:line="276" w:lineRule="auto"/>
        <w:ind w:left="-307" w:right="-263"/>
        <w:rPr>
          <w:sz w:val="31"/>
          <w:szCs w:val="31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n. ________ ___________lì_____________ </w:t>
      </w:r>
    </w:p>
    <w:p w14:paraId="00000002" w14:textId="77777777" w:rsidR="00213C9C" w:rsidRDefault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53" w:line="276" w:lineRule="auto"/>
        <w:ind w:left="5880" w:right="-307"/>
        <w:rPr>
          <w:sz w:val="31"/>
          <w:szCs w:val="3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 COLLEGIO DEI DOCENTI </w:t>
      </w:r>
    </w:p>
    <w:p w14:paraId="00000003" w14:textId="77777777" w:rsidR="00213C9C" w:rsidRDefault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0" w:line="276" w:lineRule="auto"/>
        <w:ind w:left="5952" w:right="-3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 P.C. AL CONSIGLIO D’ISTITUTO </w:t>
      </w:r>
    </w:p>
    <w:p w14:paraId="00000004" w14:textId="77777777" w:rsidR="00213C9C" w:rsidRDefault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0" w:line="276" w:lineRule="auto"/>
        <w:ind w:left="5952" w:right="-3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AI GENITORI</w:t>
      </w:r>
    </w:p>
    <w:p w14:paraId="00000005" w14:textId="77777777" w:rsidR="00213C9C" w:rsidRDefault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0" w:line="276" w:lineRule="auto"/>
        <w:ind w:left="5952" w:right="-3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AGLI ALUNNI </w:t>
      </w:r>
    </w:p>
    <w:p w14:paraId="00000006" w14:textId="77777777" w:rsidR="00213C9C" w:rsidRDefault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0" w:line="276" w:lineRule="auto"/>
        <w:ind w:left="5952" w:right="-311"/>
        <w:jc w:val="right"/>
        <w:rPr>
          <w:sz w:val="31"/>
          <w:szCs w:val="3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 PERSONALE ATA </w:t>
      </w:r>
    </w:p>
    <w:p w14:paraId="00000007" w14:textId="77777777" w:rsidR="00213C9C" w:rsidRDefault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0" w:line="276" w:lineRule="auto"/>
        <w:ind w:left="8606" w:right="-311" w:hanging="8476"/>
        <w:rPr>
          <w:b/>
          <w:sz w:val="31"/>
          <w:szCs w:val="31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ATTI ALBO </w:t>
      </w:r>
    </w:p>
    <w:p w14:paraId="00000008" w14:textId="77777777" w:rsidR="00213C9C" w:rsidRDefault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2" w:line="276" w:lineRule="auto"/>
        <w:ind w:left="-307" w:right="-307"/>
        <w:jc w:val="both"/>
        <w:rPr>
          <w:b/>
          <w:sz w:val="31"/>
          <w:szCs w:val="31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OGGETTO: ATTO D’INDIRIZZO DEL DIRIGENTE SCOLASTICO PER LA PREDISPOSIZIONE DEL PIANO TRIENNALE DELL’OFFERTA FORMATIVA EX ART.1, COMMA 14, LEGGE N.107/2015. </w:t>
      </w:r>
    </w:p>
    <w:p w14:paraId="00000009" w14:textId="77777777" w:rsidR="00213C9C" w:rsidRDefault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8" w:line="276" w:lineRule="auto"/>
        <w:ind w:left="3033" w:right="3028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IL DIRIGENTE SCOLASTICO </w:t>
      </w:r>
    </w:p>
    <w:p w14:paraId="0000000A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4" w:line="276" w:lineRule="auto"/>
        <w:ind w:left="-307" w:right="-30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VISTA la legge n. 107 del 13.07.2015 (d’ora in poi: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Legge</w:t>
      </w:r>
      <w:r>
        <w:rPr>
          <w:rFonts w:ascii="Times New Roman" w:eastAsia="Times New Roman" w:hAnsi="Times New Roman" w:cs="Times New Roman"/>
          <w:sz w:val="24"/>
          <w:szCs w:val="24"/>
        </w:rPr>
        <w:t>), recante la “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Riforma del sistema nazionale di istruzione e formazione e delega per il riordino delle disposizioni legislative vigenti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”; </w:t>
      </w:r>
    </w:p>
    <w:p w14:paraId="0000000B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4" w:line="276" w:lineRule="auto"/>
        <w:ind w:left="-307" w:right="-30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PRESO ATTO che l’art.1 della predetta legge, ai commi 12-17, prevede che: </w:t>
      </w:r>
    </w:p>
    <w:p w14:paraId="0000000C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" w:line="276" w:lineRule="auto"/>
        <w:ind w:left="52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le istituzioni scolastiche predispongono, entro il 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ese di ottobre dell'anno scolastico precedente il triennio di riferimento, il piano triennale dell'offerta formativa (d’ora in poi: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Piano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</w:p>
    <w:p w14:paraId="0000000D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" w:line="276" w:lineRule="auto"/>
        <w:ind w:left="52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il piano deve essere elaborato dal collegio dei docenti sulla base degli indirizzi per le attività della scuola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delle scelte di gestione e di amministrazione definiti dal dirigente scolastico; </w:t>
      </w:r>
    </w:p>
    <w:p w14:paraId="0000000E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" w:line="276" w:lineRule="auto"/>
        <w:ind w:left="52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il piano è approvato dal consiglio d’istituto; </w:t>
      </w:r>
    </w:p>
    <w:p w14:paraId="0000000F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" w:line="276" w:lineRule="auto"/>
        <w:ind w:left="52" w:right="-311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4) esso viene sottoposto alla verifica dell’USR per accertarne la compatibilità con i limiti d’organico assegnato e, all’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esito della verifica, trasmesso dal medesimo USR al MIUR; </w:t>
      </w:r>
    </w:p>
    <w:p w14:paraId="00000010" w14:textId="0A3BBE61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una volta espletate le procedure di cui ai precedenti punti, il Piano verrà </w:t>
      </w:r>
      <w:r>
        <w:rPr>
          <w:rFonts w:ascii="Times New Roman" w:eastAsia="Times New Roman" w:hAnsi="Times New Roman" w:cs="Times New Roman"/>
          <w:sz w:val="24"/>
          <w:szCs w:val="24"/>
        </w:rPr>
        <w:t>pubblicato nel portal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unico dei dati della scuola; </w:t>
      </w:r>
    </w:p>
    <w:p w14:paraId="00000011" w14:textId="77777777" w:rsidR="00213C9C" w:rsidRDefault="00213C9C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307" w:right="-3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2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TENUTO CONTO delle proposte e dei pareri formulati dagli enti locali e dalle diverse realtà istituzionali, culturali, sociali ed economiche operanti nel territorio, nonché dagli organismi e dalle associazioni dei genitori 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degli studenti;</w:t>
      </w:r>
    </w:p>
    <w:p w14:paraId="00000013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nelle more dell’avvicendamento tra Dirigente scolastico precedente e Dirigente scolastico reggente il PTOF è stato aggiornato all’anno scolastico 2018/19;</w:t>
      </w:r>
    </w:p>
    <w:p w14:paraId="00000014" w14:textId="77777777" w:rsidR="00213C9C" w:rsidRDefault="00213C9C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307" w:right="-3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5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04" w:line="276" w:lineRule="auto"/>
        <w:ind w:left="4007" w:right="4008"/>
        <w:jc w:val="both"/>
        <w:rPr>
          <w:sz w:val="31"/>
          <w:szCs w:val="3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EMANA </w:t>
      </w:r>
    </w:p>
    <w:p w14:paraId="00000016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5"/>
        <w:ind w:right="-307"/>
        <w:jc w:val="both"/>
        <w:rPr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sensi dell’art. 3 del DPR 275/99, così come sostituito dall’art. 1 comma 14 della legg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13.7.2015, n. 107, il seguente </w:t>
      </w:r>
    </w:p>
    <w:p w14:paraId="00000017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5"/>
        <w:ind w:left="-307" w:right="-307"/>
        <w:jc w:val="both"/>
        <w:rPr>
          <w:b/>
          <w:sz w:val="60"/>
          <w:szCs w:val="60"/>
          <w:vertAlign w:val="subscript"/>
        </w:rPr>
      </w:pPr>
      <w:r>
        <w:rPr>
          <w:rFonts w:ascii="Times New Roman" w:eastAsia="Times New Roman" w:hAnsi="Times New Roman" w:cs="Times New Roman"/>
          <w:b/>
          <w:sz w:val="60"/>
          <w:szCs w:val="60"/>
          <w:vertAlign w:val="subscript"/>
        </w:rPr>
        <w:t xml:space="preserve">Atto d’indirizzo </w:t>
      </w:r>
    </w:p>
    <w:p w14:paraId="00000018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6" w:line="276" w:lineRule="auto"/>
        <w:ind w:left="-86" w:right="-86"/>
        <w:jc w:val="both"/>
        <w:rPr>
          <w:b/>
          <w:sz w:val="31"/>
          <w:szCs w:val="31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per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le attività della scuola e le scelte di gestione e di amministrazione </w:t>
      </w:r>
    </w:p>
    <w:p w14:paraId="00000019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 w:line="276" w:lineRule="auto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Le priorità, i traguardi e gli obiettivi individuati dal rapporto di autovalutazione (RAV) e il conseguente piano di miglioramento di cui all’art.6, comma 1, del Decreto del Presidente della Repubblica 28.3.2013 n.80 dovranno costituire parte integrante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del Piano; </w:t>
      </w:r>
    </w:p>
    <w:p w14:paraId="0000001A" w14:textId="31033BE6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 w:line="276" w:lineRule="auto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</w:rPr>
        <w:t>Nel definire le attività per il recupero ed il potenziamento del profitto, si terrà conto:</w:t>
      </w:r>
    </w:p>
    <w:p w14:paraId="0000001B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 w:line="276" w:lineRule="auto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A. delle Priorità e Traguardi del R.A.V., nell’ultima compilazione disponibile, risalente al 2018, di cui al punto 5 del documento. </w:t>
      </w:r>
    </w:p>
    <w:p w14:paraId="0000001C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 w:line="276" w:lineRule="auto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merito ai ris</w:t>
      </w:r>
      <w:r>
        <w:rPr>
          <w:rFonts w:ascii="Times New Roman" w:eastAsia="Times New Roman" w:hAnsi="Times New Roman" w:cs="Times New Roman"/>
          <w:sz w:val="24"/>
          <w:szCs w:val="24"/>
        </w:rPr>
        <w:t>ultati scolastici sono state definite le seguenti priorità:</w:t>
      </w:r>
    </w:p>
    <w:p w14:paraId="0000001D" w14:textId="52B0C731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 w:line="276" w:lineRule="auto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I. Aumento del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 percentuale </w:t>
      </w:r>
      <w:r>
        <w:rPr>
          <w:rFonts w:ascii="Times New Roman" w:eastAsia="Times New Roman" w:hAnsi="Times New Roman" w:cs="Times New Roman"/>
          <w:sz w:val="24"/>
          <w:szCs w:val="24"/>
        </w:rPr>
        <w:t>di studenti che completino il corso di studi nell'arco dei cinque anni.</w:t>
      </w:r>
    </w:p>
    <w:p w14:paraId="0000001E" w14:textId="2B7A023E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 w:line="276" w:lineRule="auto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II. </w:t>
      </w:r>
      <w:r>
        <w:rPr>
          <w:rFonts w:ascii="Times New Roman" w:eastAsia="Times New Roman" w:hAnsi="Times New Roman" w:cs="Times New Roman"/>
          <w:sz w:val="24"/>
          <w:szCs w:val="24"/>
        </w:rPr>
        <w:t>Diminuzione della percentuale dei trasferimenti sia interni agli indirizzi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che in uscita, soprattutto nel b</w:t>
      </w:r>
      <w:r>
        <w:rPr>
          <w:rFonts w:ascii="Times New Roman" w:eastAsia="Times New Roman" w:hAnsi="Times New Roman" w:cs="Times New Roman"/>
          <w:sz w:val="24"/>
          <w:szCs w:val="24"/>
        </w:rPr>
        <w:t>iennio.</w:t>
      </w:r>
    </w:p>
    <w:p w14:paraId="0000001F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 w:line="276" w:lineRule="auto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merito alle competenze chiave europee:</w:t>
      </w:r>
    </w:p>
    <w:p w14:paraId="00000020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 w:line="276" w:lineRule="auto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I. Elaborazione e validazione degli strumenti per il riconoscimento e per la valutazione delle competenze acquisite con i PCTO.</w:t>
      </w:r>
    </w:p>
    <w:p w14:paraId="00000021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merito ai risultati delle rilevazioni INVALSI relative allo scorso anno, con specifica attenzione al “valore scuola” sono state individuate le seguenti priorità:</w:t>
      </w:r>
    </w:p>
    <w:p w14:paraId="00000022" w14:textId="6E8A158D" w:rsidR="00213C9C" w:rsidRPr="009E1E2B" w:rsidRDefault="009E1E2B" w:rsidP="009E1E2B">
      <w:pPr>
        <w:pStyle w:val="Paragrafoelenco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12"/>
        <w:ind w:right="-311"/>
        <w:jc w:val="both"/>
        <w:rPr>
          <w:sz w:val="28"/>
          <w:szCs w:val="28"/>
        </w:rPr>
      </w:pPr>
      <w:r w:rsidRPr="009E1E2B">
        <w:rPr>
          <w:rFonts w:ascii="Times New Roman" w:eastAsia="Times New Roman" w:hAnsi="Times New Roman" w:cs="Times New Roman"/>
          <w:sz w:val="24"/>
          <w:szCs w:val="24"/>
        </w:rPr>
        <w:t>Migliorare gli esiti delle prove INVALSI attraverso il potenziamento delle competenze nel</w:t>
      </w:r>
      <w:r w:rsidRPr="009E1E2B">
        <w:rPr>
          <w:rFonts w:ascii="Times New Roman" w:eastAsia="Times New Roman" w:hAnsi="Times New Roman" w:cs="Times New Roman"/>
          <w:sz w:val="24"/>
          <w:szCs w:val="24"/>
        </w:rPr>
        <w:t>le discipline oggetto delle prove.</w:t>
      </w:r>
    </w:p>
    <w:p w14:paraId="00000023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li indirizzi per la formulazione del Piano, saranno desunti, oltre che dalle priorità del R.A.V., da proposte, pareri e indicazioni formulati dagli enti locali e dalle diverse realtà istituzionali, culturali, sociali ed </w:t>
      </w:r>
      <w:r>
        <w:rPr>
          <w:rFonts w:ascii="Times New Roman" w:eastAsia="Times New Roman" w:hAnsi="Times New Roman" w:cs="Times New Roman"/>
          <w:sz w:val="24"/>
          <w:szCs w:val="24"/>
        </w:rPr>
        <w:t>economiche operanti nel territorio, oltre che dal Consiglio di Istituto, dagli enti locali e dalle diverse realtà istituzionali, culturali, sociali ed economiche operanti nel territorio, nonché dagli organismi e dalle associazioni dei genitori e degli stud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enti. </w:t>
      </w:r>
    </w:p>
    <w:p w14:paraId="00000024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questo contesto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l’istituzione scolastica effettua dunque la programmazione triennale dell’offerta formativa con i seguenti obiettivi:</w:t>
      </w:r>
    </w:p>
    <w:p w14:paraId="00000025" w14:textId="319D37E9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-potenziare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saperi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 le competenze delle studentesse e degli studenti </w:t>
      </w:r>
      <w:r>
        <w:rPr>
          <w:rFonts w:ascii="Times New Roman" w:eastAsia="Times New Roman" w:hAnsi="Times New Roman" w:cs="Times New Roman"/>
          <w:sz w:val="24"/>
          <w:szCs w:val="24"/>
        </w:rPr>
        <w:t>per realizzare una efficace apertura 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lla comunità scolastica al territorio con il pieno coinvolgimento delle istituzioni e delle realtà locali. </w:t>
      </w:r>
    </w:p>
    <w:p w14:paraId="00000026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/>
        <w:ind w:left="-307" w:right="-3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realizzare il curricolo della scuola integrandolo con il raggiungimento degli obiettivi di cui ai commi 5-26 della Legge, con particolare riferime</w:t>
      </w:r>
      <w:r>
        <w:rPr>
          <w:rFonts w:ascii="Times New Roman" w:eastAsia="Times New Roman" w:hAnsi="Times New Roman" w:cs="Times New Roman"/>
          <w:sz w:val="24"/>
          <w:szCs w:val="24"/>
        </w:rPr>
        <w:t>nto alla valorizzazione delle potenzialità e degli stili di apprendimento nonché della comunità professionale scolastica con lo sviluppo del metodo cooperativo e interattivo, la didattica per progetto - nel rispetto della libertà di insegnamento – per la c</w:t>
      </w:r>
      <w:r>
        <w:rPr>
          <w:rFonts w:ascii="Times New Roman" w:eastAsia="Times New Roman" w:hAnsi="Times New Roman" w:cs="Times New Roman"/>
          <w:sz w:val="24"/>
          <w:szCs w:val="24"/>
        </w:rPr>
        <w:t>ollaborazione e la progettazione condivisa.</w:t>
      </w:r>
    </w:p>
    <w:p w14:paraId="00000027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realizzare l’interazione con le famiglie e il territorio mediante le forme di flessibilità dell’autonomia didattica e organizzativa previste dal regolamento di cui al Decreto del Presidente della Repubblica 275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dell’8 marzo 1999. </w:t>
      </w:r>
    </w:p>
    <w:p w14:paraId="00000028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Saranno prioritarie nella definizione del Piano le seguenti linee di indirizzo:</w:t>
      </w:r>
    </w:p>
    <w:p w14:paraId="00000029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potenziare la didattica laboratoriale - sviluppando nuove metodologie incentrate sull’uso delle nuove tecnologie e sulla didattica delle competenze -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particolare per le discipline di indirizzo;</w:t>
      </w:r>
    </w:p>
    <w:p w14:paraId="0000002A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B. potenziare l’apprendimento, l’uso e l’esperienza linguistici in prospettiva di apertura internazionale; </w:t>
      </w:r>
    </w:p>
    <w:p w14:paraId="0000002B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C. potenziare le esperienze di alternanza scuola lavoro, in particolare attorno alle discipline di ind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irizzo, inseriti nel curricolo, in rapporto con università, centri di ricerca, aziende innovative e di eccellenza - specificamente inserite nei trend di sviluppo del territorio; </w:t>
      </w:r>
    </w:p>
    <w:p w14:paraId="0000002C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/>
        <w:ind w:left="-307" w:right="-3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D. potenziare le azioni di continuità, accoglienza, sostegno, recupero,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riori</w:t>
      </w:r>
      <w:r>
        <w:rPr>
          <w:rFonts w:ascii="Times New Roman" w:eastAsia="Times New Roman" w:hAnsi="Times New Roman" w:cs="Times New Roman"/>
          <w:sz w:val="24"/>
          <w:szCs w:val="24"/>
        </w:rPr>
        <w:t>entamento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funzione anti-dispersione, al fine di migliorare il benessere a scuola in tutte le sue forme.</w:t>
      </w:r>
    </w:p>
    <w:p w14:paraId="0000002D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/>
        <w:ind w:left="-307" w:right="-3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E. Attivare ed implementare il progetto accoglienza alunni stranieri, in collaborazione con il CPIA</w:t>
      </w:r>
    </w:p>
    <w:p w14:paraId="0000002E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2"/>
        <w:ind w:left="-307"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All’attuazione delle disposizioni di cui ai commi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1-3 della Legge si provvede nei limiti della dotazione organica dell’autonomia, nonché della dotazione organica del personale amministrativo, tecnico e ausiliario e delle risorse strumentali e finanziarie disponibili. </w:t>
      </w:r>
    </w:p>
    <w:p w14:paraId="0000002F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1"/>
        <w:ind w:left="120" w:right="-3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merito ai commi 1-7 si terrà conto in particolare delle seguenti priorità:</w:t>
      </w:r>
    </w:p>
    <w:p w14:paraId="00000030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1"/>
        <w:ind w:left="120" w:right="-311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a) disponibilità dell’accesso alla Rete, stabile e protetto, in tutti gli spazi, per lo svolgimento della didattica e per l’accesso ai servizi;</w:t>
      </w:r>
    </w:p>
    <w:p w14:paraId="00000031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ind w:right="5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  <w:t>b) accesso alle possibilità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offerte dalla virtualizzazione per le attività specifiche degli indirizzi dell’Istituto Professionale;</w:t>
      </w:r>
    </w:p>
    <w:p w14:paraId="00000032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ind w:right="56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  <w:t>c) sviluppo di un laboratorio informatico di qualità, anche nella prospettiva della messa a regime dell’opzione in Sistemi Informativi Aziendali;</w:t>
      </w:r>
    </w:p>
    <w:p w14:paraId="00000033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ind w:right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d) sviluppo del laboratorio linguistico</w:t>
      </w:r>
    </w:p>
    <w:p w14:paraId="00000034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ind w:right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e) incremento, nelle classi, della dotazione tecnologica al fine di migliorare l’uso delle nuove tecnologie ai fini della didattica.</w:t>
      </w:r>
    </w:p>
    <w:p w14:paraId="00000035" w14:textId="5E5A9F23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ind w:right="5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f) alfabetizzazione e perfezionamento dell'italiano come 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lingua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seconda 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attrav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erso corsi e laboratori per studenti di cittadinanza o lingua non italiana, da organizzare anche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in  collaborazione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  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con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 enti locali e il terzo settore, con l'apporto delle comunita'  di origine, delle famiglie e dei mediatori culturali;</w:t>
      </w:r>
    </w:p>
    <w:p w14:paraId="00000036" w14:textId="769A30F8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0"/>
        <w:ind w:right="-3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Nell’ambito delle scelte di organizzazione, dovranno essere previste la figura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del coordinatore di plesso e quella del coordinatore di classe; </w:t>
      </w:r>
    </w:p>
    <w:p w14:paraId="00000037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0"/>
        <w:ind w:right="-3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dovrà essere prevista l’istituzione di dipartimenti per aree disciplinari, nonché, ove ritenuto funzionale al</w:t>
      </w:r>
      <w:r>
        <w:rPr>
          <w:rFonts w:ascii="Times New Roman" w:eastAsia="Times New Roman" w:hAnsi="Times New Roman" w:cs="Times New Roman"/>
          <w:sz w:val="24"/>
          <w:szCs w:val="24"/>
        </w:rPr>
        <w:t>le priorità di istituto, dipartimenti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trasversali (ad esempio, per l’orientamento oppure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PCTO). </w:t>
      </w:r>
    </w:p>
    <w:p w14:paraId="00000038" w14:textId="77777777" w:rsidR="00213C9C" w:rsidRDefault="00213C9C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0"/>
        <w:ind w:left="547" w:right="-3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9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8"/>
        <w:ind w:right="-307"/>
        <w:jc w:val="both"/>
        <w:rPr>
          <w:b/>
          <w:i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Linee d’indirizzo in merito all’attuazione del Piano Nazionale Scuola Digitale</w:t>
      </w:r>
    </w:p>
    <w:p w14:paraId="0000003A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4"/>
        <w:ind w:left="119" w:right="-2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 azioni coerenti con il Piano nazionale scuola digitale (commi 56-60 della Legge) comprenderanno:</w:t>
      </w:r>
    </w:p>
    <w:p w14:paraId="0000003B" w14:textId="381DE3D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4"/>
        <w:ind w:left="119" w:right="-2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L</w:t>
      </w:r>
      <w:r>
        <w:rPr>
          <w:rFonts w:ascii="Times New Roman" w:eastAsia="Times New Roman" w:hAnsi="Times New Roman" w:cs="Times New Roman"/>
          <w:sz w:val="24"/>
          <w:szCs w:val="24"/>
        </w:rPr>
        <w:t>o sviluppo delle competenze digitali degli studenti, anche attraverso la collaborazione delle Università, associazioni, organismi del terzo settore e impr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ese </w:t>
      </w:r>
    </w:p>
    <w:p w14:paraId="0000003C" w14:textId="78803A7A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4"/>
        <w:ind w:left="119" w:right="-2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otenziamento degli strumenti didattici e laboratoriali necessari a migliorare la formazione e i processi di innovazione delle istituzioni scolastiche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adozione di strumenti organizzativi e tecnologici per favorire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governance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la trasparenza e la </w:t>
      </w:r>
      <w:r>
        <w:rPr>
          <w:rFonts w:ascii="Times New Roman" w:eastAsia="Times New Roman" w:hAnsi="Times New Roman" w:cs="Times New Roman"/>
          <w:sz w:val="24"/>
          <w:szCs w:val="24"/>
        </w:rPr>
        <w:t>condivisione dei dati, lo scambio di informazioni tra dirigenti, docenti e studenti e tra istituzioni scolastiche e amministrative del MIUR, dell’Università e della ricerca</w:t>
      </w:r>
    </w:p>
    <w:p w14:paraId="0000003D" w14:textId="04FB61A8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4"/>
        <w:ind w:left="119" w:right="-2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ormazione dei docenti per l’innovazione didattica e lo sviluppo della cultura digi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tale per l’insegnamento, l’apprendimento e la formazione delle competenze lavorative, cognitive e sociali degli studenti  </w:t>
      </w:r>
    </w:p>
    <w:p w14:paraId="0000003E" w14:textId="7BDFC249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4"/>
        <w:ind w:left="119" w:right="-2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ormazione del DSGA, degli assistenti amministrativi e degli assistenti tecnici per l’innovazione digitale nell’amministrazione </w:t>
      </w:r>
      <w:r>
        <w:rPr>
          <w:rFonts w:ascii="Times New Roman" w:eastAsia="Times New Roman" w:hAnsi="Times New Roman" w:cs="Times New Roman"/>
          <w:sz w:val="24"/>
          <w:szCs w:val="24"/>
        </w:rPr>
        <w:t>pote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nziamento delle infrastrutture di rete  </w:t>
      </w:r>
    </w:p>
    <w:p w14:paraId="0000003F" w14:textId="6DFA9069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4"/>
        <w:ind w:left="119" w:right="-2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ndividuazione di una commissione tecnica, formata da almeno tre docenti e un assistente tecnico, che si occupi della formazione del personale per l’innovazione tecnologica e dell’attività organizzativa, gestionale </w:t>
      </w:r>
      <w:r>
        <w:rPr>
          <w:rFonts w:ascii="Times New Roman" w:eastAsia="Times New Roman" w:hAnsi="Times New Roman" w:cs="Times New Roman"/>
          <w:sz w:val="24"/>
          <w:szCs w:val="24"/>
        </w:rPr>
        <w:t>e redazionale in riferimento al registro elettronico e al sito Internet dell’Istituto. È stato conferito l’incarico di Animatore digitale, figura prevista dal Piano Nazionale della Scuola Digitale (PNSD), che viene affiancato dal Team dell’Innovazione.</w:t>
      </w:r>
    </w:p>
    <w:p w14:paraId="00000040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4"/>
        <w:ind w:left="119" w:right="-2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L’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Animatore digitale e il Team dell’Innovazione, nonché l’Assistente tecnico, contribuiscono a far acquisire competenze in riferimento al Registro Elettronico e curano l’aggiornamento del sito internet dell’Istituto. </w:t>
      </w:r>
    </w:p>
    <w:p w14:paraId="00000041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6"/>
        <w:ind w:left="120" w:right="-21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 procederà con la formazione del perso</w:t>
      </w:r>
      <w:r>
        <w:rPr>
          <w:rFonts w:ascii="Times New Roman" w:eastAsia="Times New Roman" w:hAnsi="Times New Roman" w:cs="Times New Roman"/>
          <w:sz w:val="24"/>
          <w:szCs w:val="24"/>
        </w:rPr>
        <w:t>nale non docente per l’innovazione digitale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nell’amministrazione e con il potenziamento delle infrastrutture di rete che garantiscano un miglioramento della comunicazione sia interna che esterna.</w:t>
      </w:r>
    </w:p>
    <w:p w14:paraId="00000042" w14:textId="352673AC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6"/>
        <w:ind w:left="120" w:right="-2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merito alla formazione in servizio dei docenti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comma 124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(formazione in servizio docenti)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sono definite le seguenti priorità:</w:t>
      </w:r>
    </w:p>
    <w:p w14:paraId="00000043" w14:textId="77777777" w:rsidR="00213C9C" w:rsidRDefault="00213C9C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6"/>
        <w:ind w:left="120" w:right="-211"/>
        <w:rPr>
          <w:i/>
        </w:rPr>
      </w:pPr>
    </w:p>
    <w:p w14:paraId="00000044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200"/>
        <w:ind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        a) valutazione degli esiti;</w:t>
      </w:r>
    </w:p>
    <w:p w14:paraId="00000045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200"/>
        <w:ind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  <w:t>b) sviluppo di una didattica per competenze;</w:t>
      </w:r>
    </w:p>
    <w:p w14:paraId="00000046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200"/>
        <w:ind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  <w:t xml:space="preserve">c) metodologia CLIL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etwinning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;</w:t>
      </w:r>
    </w:p>
    <w:p w14:paraId="00000047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200"/>
        <w:ind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  <w:t>d) formazione area BES - inclusione</w:t>
      </w:r>
    </w:p>
    <w:p w14:paraId="00000048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200"/>
        <w:ind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e) innovazione e nuove tecnologie</w:t>
      </w:r>
    </w:p>
    <w:p w14:paraId="00000049" w14:textId="77777777" w:rsidR="00213C9C" w:rsidRDefault="00213C9C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8"/>
        <w:ind w:left="9220" w:right="-307"/>
        <w:rPr>
          <w:rFonts w:ascii="Times New Roman" w:eastAsia="Times New Roman" w:hAnsi="Times New Roman" w:cs="Times New Roman"/>
          <w:sz w:val="24"/>
          <w:szCs w:val="24"/>
        </w:rPr>
      </w:pPr>
    </w:p>
    <w:p w14:paraId="0000004A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Ai sensi del comma 14 art. 1 legge 107/2015, il Piano dell’offerta formativa triennale, oltre ad includere le risultanze del RAV e il Piano di miglioramento ivi connesso, dovrà inoltre esplicitare: </w:t>
      </w:r>
    </w:p>
    <w:p w14:paraId="0000004B" w14:textId="2FD4D60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▪ il fabbisogno di pos</w:t>
      </w:r>
      <w:r>
        <w:rPr>
          <w:rFonts w:ascii="Times New Roman" w:eastAsia="Times New Roman" w:hAnsi="Times New Roman" w:cs="Times New Roman"/>
          <w:sz w:val="24"/>
          <w:szCs w:val="24"/>
        </w:rPr>
        <w:t>ti comuni, di sostegno e per il potenziamento dell'offerta formativa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0000004C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▪ il fabbisogno di personale ausiliario ed amministrativo; </w:t>
      </w:r>
    </w:p>
    <w:p w14:paraId="0000004D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▪ il fabbisogno di strutture, infrastrutture, attrezzature materiali;</w:t>
      </w:r>
    </w:p>
    <w:p w14:paraId="0000004E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▪ le modalità di rendicontazione sociale. </w:t>
      </w:r>
    </w:p>
    <w:p w14:paraId="0000004F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nell’ambito dei posti di potenziamento sarà accantonato preliminarmente un posto di docente della classe di concorso A047 per l’esonero (semiesonero) del primo collaboratore del dirigente;</w:t>
      </w:r>
    </w:p>
    <w:p w14:paraId="4EAF9D22" w14:textId="77777777" w:rsidR="009E1E2B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00000050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 terrà conto del fatto che l’organico di potenziamento deve ser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vire anche alla copertura delle supplenze brevi e quindi si eviterà di assorbire sui progetti l’intera quota disponibile. </w:t>
      </w:r>
    </w:p>
    <w:p w14:paraId="00000051" w14:textId="77777777" w:rsidR="00213C9C" w:rsidRDefault="00213C9C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52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Collegio dei Docenti è invitato ad un'attenta analisi degli argomenti oggetto della presente direttiva, in modo da assumere delib</w:t>
      </w:r>
      <w:r>
        <w:rPr>
          <w:rFonts w:ascii="Times New Roman" w:eastAsia="Times New Roman" w:hAnsi="Times New Roman" w:cs="Times New Roman"/>
          <w:sz w:val="24"/>
          <w:szCs w:val="24"/>
        </w:rPr>
        <w:t>erazioni che favoriscano la correttezza, l'efficacia, l'efficienza, l'imparzialità, la trasparenza richiesta alle pubbliche amministrazioni, qualità particolarmente rilevanti quando gli atti amministrativi sono parte fondante all'interno del rapporto educa</w:t>
      </w:r>
      <w:r>
        <w:rPr>
          <w:rFonts w:ascii="Times New Roman" w:eastAsia="Times New Roman" w:hAnsi="Times New Roman" w:cs="Times New Roman"/>
          <w:sz w:val="24"/>
          <w:szCs w:val="24"/>
        </w:rPr>
        <w:t>tivo tra docente e discente e tra scuola e famiglia.</w:t>
      </w:r>
    </w:p>
    <w:p w14:paraId="31BD854D" w14:textId="77777777" w:rsidR="009E1E2B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jc w:val="both"/>
        <w:rPr>
          <w:sz w:val="28"/>
          <w:szCs w:val="28"/>
        </w:rPr>
      </w:pPr>
    </w:p>
    <w:p w14:paraId="00000053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Per tutti i progetti e le attività previsti nel Piano, devono essere indicati i livelli di partenza sui quali si intende intervenire, gli obiettivi cui tendere nell’arco del triennio di riferimento, gli indicatori quantitativi e/o qualitativi utilizzati 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 utilizzare per rilevarli. </w:t>
      </w:r>
    </w:p>
    <w:p w14:paraId="40E524B2" w14:textId="77777777" w:rsidR="009E1E2B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jc w:val="both"/>
        <w:rPr>
          <w:sz w:val="28"/>
          <w:szCs w:val="28"/>
        </w:rPr>
      </w:pPr>
    </w:p>
    <w:p w14:paraId="00000054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Gli indicatori saranno di preferenza quantitativi, cioè espressi in grandezze misurabili, ovvero qualitativi, cioè fondati su descrittori non ambigui di presenza / assenza di fenomeni, qualità o comportamenti ed eventualmente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della loro frequenza. </w:t>
      </w:r>
    </w:p>
    <w:p w14:paraId="5597F028" w14:textId="77777777" w:rsidR="009E1E2B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jc w:val="both"/>
        <w:rPr>
          <w:sz w:val="28"/>
          <w:szCs w:val="28"/>
        </w:rPr>
      </w:pPr>
    </w:p>
    <w:p w14:paraId="00000055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Il Piano dovrà essere predisposto a cura della Commissione PTOF secondo questa scansione temporale:</w:t>
      </w:r>
    </w:p>
    <w:p w14:paraId="00000056" w14:textId="55F95CB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La commissione PTOF sarà affiancata nel suo lavoro da tanti soggetti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affinchè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la proposta del PTOF sia portata all’esame del collegi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stesso </w:t>
      </w:r>
      <w:r>
        <w:rPr>
          <w:rFonts w:ascii="Times New Roman" w:eastAsia="Times New Roman" w:hAnsi="Times New Roman" w:cs="Times New Roman"/>
          <w:sz w:val="24"/>
          <w:szCs w:val="24"/>
        </w:rPr>
        <w:t>entro il mese di Dicembre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Il PTOF sarà ulteriormente rivisto, ampliato ed aggiornato entro il 15 Ottobre dell’anno successivo. </w:t>
      </w:r>
    </w:p>
    <w:p w14:paraId="1757C374" w14:textId="77777777" w:rsidR="009E1E2B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rPr>
          <w:rFonts w:ascii="Times New Roman" w:eastAsia="Times New Roman" w:hAnsi="Times New Roman" w:cs="Times New Roman"/>
          <w:sz w:val="24"/>
          <w:szCs w:val="24"/>
        </w:rPr>
      </w:pPr>
    </w:p>
    <w:p w14:paraId="1CF1F4A3" w14:textId="77777777" w:rsidR="009E1E2B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rPr>
          <w:rFonts w:ascii="Times New Roman" w:eastAsia="Times New Roman" w:hAnsi="Times New Roman" w:cs="Times New Roman"/>
          <w:sz w:val="24"/>
          <w:szCs w:val="24"/>
        </w:rPr>
      </w:pPr>
    </w:p>
    <w:p w14:paraId="0942CD3C" w14:textId="77777777" w:rsidR="009E1E2B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rPr>
          <w:sz w:val="28"/>
          <w:szCs w:val="28"/>
        </w:rPr>
      </w:pPr>
    </w:p>
    <w:p w14:paraId="00000057" w14:textId="77777777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6009" w:right="6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Il dirigente scolastico </w:t>
      </w:r>
    </w:p>
    <w:p w14:paraId="00000058" w14:textId="073A0245" w:rsidR="00213C9C" w:rsidRDefault="009E1E2B" w:rsidP="009E1E2B">
      <w:pPr>
        <w:widowControl w:val="0"/>
        <w:pBdr>
          <w:top w:val="nil"/>
          <w:left w:val="nil"/>
          <w:bottom w:val="nil"/>
          <w:right w:val="nil"/>
          <w:between w:val="nil"/>
        </w:pBdr>
        <w:ind w:left="6009" w:right="6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Dott.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Vincenzo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Tinaglia</w:t>
      </w:r>
      <w:proofErr w:type="spellEnd"/>
    </w:p>
    <w:p w14:paraId="00000059" w14:textId="77777777" w:rsidR="00213C9C" w:rsidRDefault="00213C9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8" w:line="276" w:lineRule="auto"/>
        <w:ind w:left="9220" w:right="-307"/>
        <w:rPr>
          <w:rFonts w:ascii="Times New Roman" w:eastAsia="Times New Roman" w:hAnsi="Times New Roman" w:cs="Times New Roman"/>
          <w:sz w:val="24"/>
          <w:szCs w:val="24"/>
        </w:rPr>
      </w:pPr>
    </w:p>
    <w:sectPr w:rsidR="00213C9C">
      <w:pgSz w:w="12240" w:h="15840"/>
      <w:pgMar w:top="1440" w:right="1440" w:bottom="1440" w:left="144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696C96"/>
    <w:multiLevelType w:val="hybridMultilevel"/>
    <w:tmpl w:val="FE2C9C46"/>
    <w:lvl w:ilvl="0" w:tplc="2CF2AE94">
      <w:start w:val="1"/>
      <w:numFmt w:val="upperRoman"/>
      <w:lvlText w:val="%1."/>
      <w:lvlJc w:val="left"/>
      <w:pPr>
        <w:ind w:left="413" w:hanging="720"/>
      </w:pPr>
      <w:rPr>
        <w:rFonts w:ascii="Times New Roman" w:eastAsia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773" w:hanging="360"/>
      </w:pPr>
    </w:lvl>
    <w:lvl w:ilvl="2" w:tplc="0410001B" w:tentative="1">
      <w:start w:val="1"/>
      <w:numFmt w:val="lowerRoman"/>
      <w:lvlText w:val="%3."/>
      <w:lvlJc w:val="right"/>
      <w:pPr>
        <w:ind w:left="1493" w:hanging="180"/>
      </w:pPr>
    </w:lvl>
    <w:lvl w:ilvl="3" w:tplc="0410000F" w:tentative="1">
      <w:start w:val="1"/>
      <w:numFmt w:val="decimal"/>
      <w:lvlText w:val="%4."/>
      <w:lvlJc w:val="left"/>
      <w:pPr>
        <w:ind w:left="2213" w:hanging="360"/>
      </w:pPr>
    </w:lvl>
    <w:lvl w:ilvl="4" w:tplc="04100019" w:tentative="1">
      <w:start w:val="1"/>
      <w:numFmt w:val="lowerLetter"/>
      <w:lvlText w:val="%5."/>
      <w:lvlJc w:val="left"/>
      <w:pPr>
        <w:ind w:left="2933" w:hanging="360"/>
      </w:pPr>
    </w:lvl>
    <w:lvl w:ilvl="5" w:tplc="0410001B" w:tentative="1">
      <w:start w:val="1"/>
      <w:numFmt w:val="lowerRoman"/>
      <w:lvlText w:val="%6."/>
      <w:lvlJc w:val="right"/>
      <w:pPr>
        <w:ind w:left="3653" w:hanging="180"/>
      </w:pPr>
    </w:lvl>
    <w:lvl w:ilvl="6" w:tplc="0410000F" w:tentative="1">
      <w:start w:val="1"/>
      <w:numFmt w:val="decimal"/>
      <w:lvlText w:val="%7."/>
      <w:lvlJc w:val="left"/>
      <w:pPr>
        <w:ind w:left="4373" w:hanging="360"/>
      </w:pPr>
    </w:lvl>
    <w:lvl w:ilvl="7" w:tplc="04100019" w:tentative="1">
      <w:start w:val="1"/>
      <w:numFmt w:val="lowerLetter"/>
      <w:lvlText w:val="%8."/>
      <w:lvlJc w:val="left"/>
      <w:pPr>
        <w:ind w:left="5093" w:hanging="360"/>
      </w:pPr>
    </w:lvl>
    <w:lvl w:ilvl="8" w:tplc="0410001B" w:tentative="1">
      <w:start w:val="1"/>
      <w:numFmt w:val="lowerRoman"/>
      <w:lvlText w:val="%9."/>
      <w:lvlJc w:val="right"/>
      <w:pPr>
        <w:ind w:left="58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C9C"/>
    <w:rsid w:val="00213C9C"/>
    <w:rsid w:val="009E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473B6-5E33-477E-AA64-CE44B9A7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Titolo6">
    <w:name w:val="heading 6"/>
    <w:basedOn w:val="Normale"/>
    <w:next w:val="Normale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9E1E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1789</Words>
  <Characters>10199</Characters>
  <Application>Microsoft Office Word</Application>
  <DocSecurity>0</DocSecurity>
  <Lines>84</Lines>
  <Paragraphs>23</Paragraphs>
  <ScaleCrop>false</ScaleCrop>
  <Company/>
  <LinksUpToDate>false</LinksUpToDate>
  <CharactersWithSpaces>11965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Daniela De Zan</cp:lastModifiedBy>
  <cp:revision>2</cp:revision>
  <dcterms:created xsi:type="dcterms:W3CDTF">2019-11-26T12:41:00Z</dcterms:created>
  <dcterms:modified xsi:type="dcterms:W3CDTF">2019-11-26T12:47:00Z</dcterms:modified>
</cp:coreProperties>
</file>